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EB0" w:rsidRDefault="00A34437">
      <w:pPr>
        <w:pStyle w:val="Standard"/>
        <w:jc w:val="center"/>
      </w:pPr>
      <w:r>
        <w:rPr>
          <w:rFonts w:ascii="Calibri" w:hAnsi="Calibri"/>
          <w:b/>
          <w:sz w:val="22"/>
          <w:szCs w:val="22"/>
        </w:rPr>
        <w:t>Programmazione 2021-2027 - Tavolo OP 4 Un'Europa più sociale</w:t>
      </w:r>
    </w:p>
    <w:p w:rsidR="00917EB0" w:rsidRDefault="00A34437">
      <w:pPr>
        <w:pStyle w:val="Standard"/>
        <w:jc w:val="center"/>
      </w:pPr>
      <w:r>
        <w:rPr>
          <w:rFonts w:ascii="Calibri" w:hAnsi="Calibri"/>
          <w:b/>
          <w:sz w:val="22"/>
          <w:szCs w:val="22"/>
        </w:rPr>
        <w:t>Sintesi della seconda riunione di confronto partenariale</w:t>
      </w:r>
    </w:p>
    <w:p w:rsidR="00917EB0" w:rsidRDefault="00917EB0">
      <w:pPr>
        <w:pStyle w:val="Standard"/>
        <w:rPr>
          <w:rFonts w:ascii="Calibri" w:hAnsi="Calibri"/>
          <w:sz w:val="22"/>
          <w:szCs w:val="22"/>
        </w:rPr>
      </w:pPr>
    </w:p>
    <w:p w:rsidR="00917EB0" w:rsidRDefault="00A34437">
      <w:pPr>
        <w:pStyle w:val="Standard"/>
      </w:pPr>
      <w:r>
        <w:rPr>
          <w:rFonts w:ascii="Calibri" w:hAnsi="Calibri"/>
          <w:sz w:val="22"/>
          <w:szCs w:val="22"/>
        </w:rPr>
        <w:t xml:space="preserve">Lo scorso 13 giugno 2019 si è svolto il secondo incontro del tavolo partenariale che affronta l’Obiettivo di policy 4 Un'Europa più sociale (visibile all’indirizzo </w:t>
      </w:r>
      <w:proofErr w:type="gramStart"/>
      <w:r>
        <w:rPr>
          <w:rFonts w:ascii="Calibri" w:hAnsi="Calibri"/>
          <w:sz w:val="22"/>
          <w:szCs w:val="22"/>
        </w:rPr>
        <w:t>https://www.youtube.com/watch?v=uXeeg97X0CA )</w:t>
      </w:r>
      <w:proofErr w:type="gramEnd"/>
    </w:p>
    <w:p w:rsidR="00917EB0" w:rsidRDefault="00917EB0">
      <w:pPr>
        <w:pStyle w:val="Standard"/>
        <w:rPr>
          <w:rFonts w:ascii="Calibri" w:hAnsi="Calibri"/>
        </w:rPr>
      </w:pPr>
    </w:p>
    <w:p w:rsidR="00917EB0" w:rsidRDefault="00A34437">
      <w:pPr>
        <w:pStyle w:val="Standard"/>
        <w:jc w:val="both"/>
      </w:pPr>
      <w:r>
        <w:rPr>
          <w:rFonts w:ascii="Calibri" w:hAnsi="Calibri"/>
          <w:sz w:val="22"/>
          <w:szCs w:val="22"/>
        </w:rPr>
        <w:t>Il NUVAP ha introdotto i lavori ricordando le Amministrazioni centrali e regionali che coordinano il tavolo tecnico e il mandato del tavolo stesso (ovvero: individuare risultati operativi di maggior dettaglio rispetto agli OS e alcune tipologie/strumenti di intervento</w:t>
      </w:r>
      <w:bookmarkStart w:id="0" w:name="_GoBack"/>
      <w:bookmarkEnd w:id="0"/>
      <w:r>
        <w:rPr>
          <w:rFonts w:ascii="Calibri" w:hAnsi="Calibri"/>
          <w:sz w:val="22"/>
          <w:szCs w:val="22"/>
        </w:rPr>
        <w:t xml:space="preserve"> e riflettere su come questi strumenti concorrono al raggiungimento dei risultati, sia sul versante FSE+ sia FESR, anche alla luce dei temi unificanti; ragionare su come dare continuità ad alcuni interventi anche alla luce delle politiche attualmente in corso; confrontarsi sulla valutazione e sull’uso degli indicatori) e informando i presenti che il tavolo è stato allargato a ulteriori partner dell’ambito dell’inclusione per coprirne adeguatamente la rappresentatività.  </w:t>
      </w:r>
    </w:p>
    <w:p w:rsidR="00917EB0" w:rsidRDefault="00A34437">
      <w:pPr>
        <w:pStyle w:val="Standard"/>
        <w:jc w:val="both"/>
      </w:pPr>
      <w:r>
        <w:rPr>
          <w:rFonts w:ascii="Calibri" w:hAnsi="Calibri"/>
          <w:sz w:val="22"/>
          <w:szCs w:val="22"/>
        </w:rPr>
        <w:t>A tale proposito, ha anche ricordato il focus della giornata, ossia il tema dell’Istruzione e Formazione, anticipando che il prossimo incontro di luglio sarà dedicato all’Inclusione sociale e quello di settembre all’Occupazione (dedicando spazio anche alla conciliazione e adattabilità).</w:t>
      </w:r>
    </w:p>
    <w:p w:rsidR="00917EB0" w:rsidRDefault="00A34437">
      <w:pPr>
        <w:pStyle w:val="Standard"/>
        <w:jc w:val="both"/>
      </w:pPr>
      <w:r>
        <w:rPr>
          <w:rFonts w:ascii="Calibri" w:hAnsi="Calibri"/>
          <w:sz w:val="22"/>
          <w:szCs w:val="22"/>
        </w:rPr>
        <w:t xml:space="preserve">I </w:t>
      </w:r>
      <w:proofErr w:type="spellStart"/>
      <w:r>
        <w:rPr>
          <w:rFonts w:ascii="Calibri" w:hAnsi="Calibri"/>
          <w:sz w:val="22"/>
          <w:szCs w:val="22"/>
        </w:rPr>
        <w:t>Iavori</w:t>
      </w:r>
      <w:proofErr w:type="spellEnd"/>
      <w:r>
        <w:rPr>
          <w:rFonts w:ascii="Calibri" w:hAnsi="Calibri"/>
          <w:sz w:val="22"/>
          <w:szCs w:val="22"/>
        </w:rPr>
        <w:t xml:space="preserve"> sono cominciati con la presentazione degli esercizi, effettuati e illustrati dal </w:t>
      </w:r>
      <w:proofErr w:type="spellStart"/>
      <w:r>
        <w:rPr>
          <w:rFonts w:ascii="Calibri" w:hAnsi="Calibri"/>
          <w:sz w:val="22"/>
          <w:szCs w:val="22"/>
        </w:rPr>
        <w:t>DipCoe</w:t>
      </w:r>
      <w:proofErr w:type="spellEnd"/>
      <w:r>
        <w:rPr>
          <w:rFonts w:ascii="Calibri" w:hAnsi="Calibri"/>
          <w:sz w:val="22"/>
          <w:szCs w:val="22"/>
        </w:rPr>
        <w:t xml:space="preserve"> e NUVAP analogamente a quanto fatto sugli altri Tavoli di partenariato, di ricostruzione e proiezione degli interventi della programmazione 14-20 sugli OS 21-27, predisposto con il fine di dare un quadro di come le risorse finanziarie e le azioni attuali potrebbero proiettarsi sugli OS futuri.</w:t>
      </w:r>
    </w:p>
    <w:p w:rsidR="00917EB0" w:rsidRDefault="00A34437">
      <w:pPr>
        <w:pStyle w:val="Standard"/>
        <w:jc w:val="both"/>
      </w:pPr>
      <w:r>
        <w:rPr>
          <w:rFonts w:ascii="Calibri" w:hAnsi="Calibri"/>
          <w:sz w:val="22"/>
          <w:szCs w:val="22"/>
          <w:u w:val="single"/>
        </w:rPr>
        <w:t>Sul fronte delle risorse finanziarie</w:t>
      </w:r>
      <w:r>
        <w:rPr>
          <w:rFonts w:ascii="Calibri" w:hAnsi="Calibri"/>
          <w:sz w:val="22"/>
          <w:szCs w:val="22"/>
        </w:rPr>
        <w:t xml:space="preserve">, l’universo preso a riferimento per effettuare l’esercizio di proiezione è quello rappresentato da  tutti i programmi e le risorse nazionali: FSE (compresa IOG), FESR (esclusa la CTE), POC, CIPE/FSC, FEAD, risorse SNAI; per dare un quadro a livello di programmazione, sono state prese a riferimento le risorse assegnate ai risultati attesi dell’AP (per FSE e FESR), alle quali sono state aggiunte le risorse di FSC, POC e altri piani e programmi regionali, per la cui attribuzione il </w:t>
      </w:r>
      <w:proofErr w:type="spellStart"/>
      <w:r>
        <w:rPr>
          <w:rFonts w:ascii="Calibri" w:hAnsi="Calibri"/>
          <w:sz w:val="22"/>
          <w:szCs w:val="22"/>
        </w:rPr>
        <w:t>DipCOE</w:t>
      </w:r>
      <w:proofErr w:type="spellEnd"/>
      <w:r>
        <w:rPr>
          <w:rFonts w:ascii="Calibri" w:hAnsi="Calibri"/>
          <w:sz w:val="22"/>
          <w:szCs w:val="22"/>
        </w:rPr>
        <w:t xml:space="preserve"> ha effettuato una ricostruzione documentale, per un valore complessivo di programmato pari a circa 110Miliardi di Euro, di cui 24,3 </w:t>
      </w:r>
      <w:proofErr w:type="spellStart"/>
      <w:r>
        <w:rPr>
          <w:rFonts w:ascii="Calibri" w:hAnsi="Calibri"/>
          <w:sz w:val="22"/>
          <w:szCs w:val="22"/>
        </w:rPr>
        <w:t>mld</w:t>
      </w:r>
      <w:proofErr w:type="spellEnd"/>
      <w:r>
        <w:rPr>
          <w:rFonts w:ascii="Calibri" w:hAnsi="Calibri"/>
          <w:sz w:val="22"/>
          <w:szCs w:val="22"/>
        </w:rPr>
        <w:t xml:space="preserve"> sull’OP4; per dare un quadro a livello di attuazione, sono stati presi a riferimento i dati finanziari pubblicati su </w:t>
      </w:r>
      <w:proofErr w:type="spellStart"/>
      <w:r>
        <w:rPr>
          <w:rFonts w:ascii="Calibri" w:hAnsi="Calibri"/>
          <w:sz w:val="22"/>
          <w:szCs w:val="22"/>
        </w:rPr>
        <w:t>OpenCoesione</w:t>
      </w:r>
      <w:proofErr w:type="spellEnd"/>
      <w:r>
        <w:rPr>
          <w:rFonts w:ascii="Calibri" w:hAnsi="Calibri"/>
          <w:sz w:val="22"/>
          <w:szCs w:val="22"/>
        </w:rPr>
        <w:t xml:space="preserve"> e quelli di monitoraggio di fonte IGRUE, e ne è emerso un dato complessivo sull’OP 4 pari a di 8,8 </w:t>
      </w:r>
      <w:proofErr w:type="spellStart"/>
      <w:r>
        <w:rPr>
          <w:rFonts w:ascii="Calibri" w:hAnsi="Calibri"/>
          <w:sz w:val="22"/>
          <w:szCs w:val="22"/>
        </w:rPr>
        <w:t>mld</w:t>
      </w:r>
      <w:proofErr w:type="spellEnd"/>
      <w:r>
        <w:rPr>
          <w:rFonts w:ascii="Calibri" w:hAnsi="Calibri"/>
          <w:sz w:val="22"/>
          <w:szCs w:val="22"/>
        </w:rPr>
        <w:t>: il dato di attuazione sembra poco incoraggiante per arrivare già a delle conclusioni, ma è da stimolo per riflettere su cosa ha funzionato e vale la pena replicare.</w:t>
      </w:r>
    </w:p>
    <w:p w:rsidR="00917EB0" w:rsidRDefault="00A34437">
      <w:pPr>
        <w:pStyle w:val="Standard"/>
        <w:jc w:val="both"/>
      </w:pPr>
      <w:r>
        <w:rPr>
          <w:rFonts w:ascii="Calibri" w:hAnsi="Calibri"/>
          <w:sz w:val="22"/>
          <w:szCs w:val="22"/>
          <w:u w:val="single"/>
        </w:rPr>
        <w:t>Sul fronte degli interventi</w:t>
      </w:r>
      <w:r>
        <w:rPr>
          <w:rFonts w:ascii="Calibri" w:hAnsi="Calibri"/>
          <w:sz w:val="22"/>
          <w:szCs w:val="22"/>
        </w:rPr>
        <w:t>, sono stati presi gli attuali OT e i RA e ricondotti ai contenuto degli OS 21-27, soffermandosi in particolare sul quelli dell’OT 10. Analogo esercizio di comparazione è stato fatto tra OS 21-27 e temi prioritari del FSC 14-20 per le risorse diverse dal FSE e FESR.</w:t>
      </w:r>
    </w:p>
    <w:p w:rsidR="00917EB0" w:rsidRDefault="00A34437">
      <w:pPr>
        <w:pStyle w:val="Standard"/>
        <w:jc w:val="both"/>
      </w:pPr>
      <w:r>
        <w:rPr>
          <w:rFonts w:ascii="Calibri" w:hAnsi="Calibri"/>
          <w:sz w:val="22"/>
          <w:szCs w:val="22"/>
        </w:rPr>
        <w:t xml:space="preserve">Anpal ha poi illustrato un proprio esercizio di correlazione tra le categorie di intervento 14-20 (come da RD 213/2015) con i campi di intervento 21-27 (Allegati all’attuale proposta di RDC), al fine di restituire una ulteriore proiezione della dimensione finanziaria per macro-temi: in particolare, sono state prese a riferimento le risorse FSE, compresa IOG, al netto dell’AT per un valore di oltre 11 </w:t>
      </w:r>
      <w:proofErr w:type="spellStart"/>
      <w:r>
        <w:rPr>
          <w:rFonts w:ascii="Calibri" w:hAnsi="Calibri"/>
          <w:sz w:val="22"/>
          <w:szCs w:val="22"/>
        </w:rPr>
        <w:t>mld</w:t>
      </w:r>
      <w:proofErr w:type="spellEnd"/>
      <w:r>
        <w:rPr>
          <w:rFonts w:ascii="Calibri" w:hAnsi="Calibri"/>
          <w:sz w:val="22"/>
          <w:szCs w:val="22"/>
        </w:rPr>
        <w:t xml:space="preserve"> di euro e si è analizzato come si muoverebbero le risorse, fermo restando che l’Anpal farà un lavoro di confronto con le AdG per effettuare un lavoro di riconduzione più puntuale. Il risultato dell’esercizio mostra come per i vari OT 8, 9 e 10, il complesso delle risorse sembra complessivamente confermato.</w:t>
      </w:r>
    </w:p>
    <w:p w:rsidR="00917EB0" w:rsidRDefault="00A34437">
      <w:pPr>
        <w:pStyle w:val="Standard"/>
        <w:jc w:val="both"/>
      </w:pPr>
      <w:r>
        <w:rPr>
          <w:rFonts w:ascii="Calibri" w:hAnsi="Calibri" w:cs="F"/>
          <w:sz w:val="22"/>
          <w:szCs w:val="22"/>
          <w:lang w:eastAsia="en-US" w:bidi="ar-SA"/>
        </w:rPr>
        <w:t>Da queste presentazioni è emersa, come nell’incontro precedente, una sostanziale continuità dei principali ambiti di intervento, confermata anche da quanto previsto nell’Allegato D del Rapporto Italia; tuttavia, scendendo più nel dettaglio, arrivando alle tipologie di intervento e comparando le “categorie di spesa” 14-20 con i “campi di intervento” della 21-27, gli esercizi presentati hanno evidenziato criticità maggiori, anche in considerazione del fatto che, soprattutto per il FSE, gli interventi, che in parte sono di sistema e in parte insistono sulle persone, sono difficilmente attribuibili a singoli OS.</w:t>
      </w:r>
    </w:p>
    <w:p w:rsidR="00917EB0" w:rsidRDefault="00917EB0">
      <w:pPr>
        <w:pStyle w:val="Standard"/>
        <w:jc w:val="both"/>
        <w:rPr>
          <w:rFonts w:ascii="Calibri" w:hAnsi="Calibri"/>
          <w:sz w:val="22"/>
          <w:szCs w:val="22"/>
        </w:rPr>
      </w:pPr>
    </w:p>
    <w:p w:rsidR="00917EB0" w:rsidRDefault="00A34437">
      <w:pPr>
        <w:pStyle w:val="Standard"/>
        <w:jc w:val="both"/>
      </w:pPr>
      <w:r>
        <w:rPr>
          <w:rFonts w:ascii="Calibri" w:hAnsi="Calibri"/>
          <w:sz w:val="22"/>
          <w:szCs w:val="22"/>
        </w:rPr>
        <w:t xml:space="preserve">Si sono poi susseguite le </w:t>
      </w:r>
      <w:r>
        <w:rPr>
          <w:rFonts w:ascii="Calibri" w:hAnsi="Calibri"/>
          <w:sz w:val="22"/>
          <w:szCs w:val="22"/>
          <w:u w:val="single"/>
        </w:rPr>
        <w:t>presentazioni da parte di altre Amministrazioni centrali</w:t>
      </w:r>
      <w:r>
        <w:rPr>
          <w:rFonts w:ascii="Calibri" w:hAnsi="Calibri"/>
          <w:sz w:val="22"/>
          <w:szCs w:val="22"/>
        </w:rPr>
        <w:t xml:space="preserve"> del gruppo di coordinamento, in particolare sono intervenuti: 1) il MIUR sul tema dell’edilizia scolastica e, in qualità di AdG, sui principali interventi finanziati con il PON Istruzione; 2) l’ACT che ha portato la propria esperienza sulla riqualificazione degli ambiti scolastici e sulla Task force dell’edilizia scolastica e 3) l’Anpal che ha fornito un quadro sulla situazione italiana dei </w:t>
      </w:r>
      <w:proofErr w:type="spellStart"/>
      <w:r>
        <w:rPr>
          <w:rFonts w:ascii="Calibri" w:hAnsi="Calibri"/>
          <w:sz w:val="22"/>
          <w:szCs w:val="22"/>
        </w:rPr>
        <w:t>drop</w:t>
      </w:r>
      <w:proofErr w:type="spellEnd"/>
      <w:r>
        <w:rPr>
          <w:rFonts w:ascii="Calibri" w:hAnsi="Calibri"/>
          <w:sz w:val="22"/>
          <w:szCs w:val="22"/>
        </w:rPr>
        <w:t xml:space="preserve"> out e la risposta del sistema formativo a tale fenomeno, nonché sul sistema duale, in sintesi </w:t>
      </w:r>
      <w:r>
        <w:rPr>
          <w:rFonts w:ascii="Calibri" w:hAnsi="Calibri"/>
          <w:sz w:val="22"/>
          <w:szCs w:val="22"/>
          <w:u w:val="single"/>
        </w:rPr>
        <w:t>anticipando le successive esperienze sul versante regionale</w:t>
      </w:r>
      <w:r>
        <w:rPr>
          <w:rFonts w:ascii="Calibri" w:hAnsi="Calibri"/>
          <w:sz w:val="22"/>
          <w:szCs w:val="22"/>
        </w:rPr>
        <w:t>.</w:t>
      </w:r>
    </w:p>
    <w:p w:rsidR="00917EB0" w:rsidRDefault="00A34437">
      <w:pPr>
        <w:pStyle w:val="Standard"/>
        <w:jc w:val="both"/>
      </w:pPr>
      <w:r>
        <w:rPr>
          <w:rFonts w:ascii="Calibri" w:hAnsi="Calibri"/>
          <w:sz w:val="22"/>
          <w:szCs w:val="22"/>
        </w:rPr>
        <w:lastRenderedPageBreak/>
        <w:t xml:space="preserve">Infatti, </w:t>
      </w:r>
      <w:r>
        <w:rPr>
          <w:rFonts w:ascii="Calibri" w:hAnsi="Calibri"/>
          <w:sz w:val="22"/>
          <w:szCs w:val="22"/>
          <w:u w:val="single"/>
        </w:rPr>
        <w:t>la Regione Toscana</w:t>
      </w:r>
      <w:r>
        <w:rPr>
          <w:rFonts w:ascii="Calibri" w:hAnsi="Calibri"/>
          <w:sz w:val="22"/>
          <w:szCs w:val="22"/>
        </w:rPr>
        <w:t xml:space="preserve">, in qualità di coordinatrice delle Regioni FSE, ha dapprima fornito una panoramica, non esaustiva ma significativa, dei principali interventi attuati con i PO regionali ricadenti nell’ambito Istruzione e formazione, anche al fine di stimolare le riflessioni del tavolo. Nel suo intervento, si è soffermata in particolare sulle seguenti tipologie che trovano finanziamento trasversalmente ai POR, riconducibili principalmente all’OT 10: IeFP, IFTS, ITS, interventi per il contrasto al </w:t>
      </w:r>
      <w:proofErr w:type="spellStart"/>
      <w:r>
        <w:rPr>
          <w:rFonts w:ascii="Calibri" w:hAnsi="Calibri"/>
          <w:sz w:val="22"/>
          <w:szCs w:val="22"/>
        </w:rPr>
        <w:t>drop</w:t>
      </w:r>
      <w:proofErr w:type="spellEnd"/>
      <w:r>
        <w:rPr>
          <w:rFonts w:ascii="Calibri" w:hAnsi="Calibri"/>
          <w:sz w:val="22"/>
          <w:szCs w:val="22"/>
        </w:rPr>
        <w:t xml:space="preserve"> out e per il recupero/rafforzamento delle competenze di base, formazione per i giovani assunti con contratto di apprendistato, interventi di istruzione terziaria, alta formazione (dottorati, master, assegni di ricerca), diritto allo studio, attività di orientamento e formazione per gli adulti. Ha comunque precisato che la ricostruzione fornita è stata costruita “artificialmente”, nel senso che gli interventi richiamati sono riconducibili al cluster di obiettivi specifici in esame nella riunione odierna, del quale sono anche strumenti di intervento, ma in ragione delle esigenze dei territori, dei contesti di attuazione, del taglio specifico dato alle azioni, si ritrovano in modo trasversale nei PO, concorrendo quindi sia agli OS dell’occupazione, sia agli OS dell’inclusione, tanto che verranno ripresi anche nelle prossime riunioni del Tavolo. In qualità di AdG del POR, ha poi presentato il modello toscano di filiera formativa strategica che prevede l’attivazione di percorsi di istruzione e formazione in determinati settori attraverso Alleanze formative tra scuole, enti formativi e imprese, nonché con le università per quanto riguarda gli assegni di ricerca e i master.</w:t>
      </w:r>
    </w:p>
    <w:p w:rsidR="00917EB0" w:rsidRDefault="00A34437">
      <w:pPr>
        <w:pStyle w:val="Standard"/>
        <w:suppressAutoHyphens w:val="0"/>
        <w:jc w:val="both"/>
      </w:pPr>
      <w:r>
        <w:rPr>
          <w:rFonts w:ascii="Calibri" w:hAnsi="Calibri"/>
          <w:sz w:val="22"/>
          <w:szCs w:val="22"/>
        </w:rPr>
        <w:t xml:space="preserve">Anche altre Regioni hanno presentato interventi strutturati per dare evidenza delle molteplici esperienze che vengono dai territori. In particolare, sono intervenute: la </w:t>
      </w:r>
      <w:r>
        <w:rPr>
          <w:rFonts w:ascii="Calibri" w:hAnsi="Calibri"/>
          <w:sz w:val="22"/>
          <w:szCs w:val="22"/>
          <w:u w:val="single"/>
        </w:rPr>
        <w:t>Regione Campania</w:t>
      </w:r>
      <w:r>
        <w:rPr>
          <w:rFonts w:ascii="Calibri" w:hAnsi="Calibri"/>
          <w:sz w:val="22"/>
          <w:szCs w:val="22"/>
        </w:rPr>
        <w:t xml:space="preserve">, che ha presentato il progetto Scuola Viva, un’iniziativa regionale che coinvolge oltre 400.000 studenti e oltre 400 scuole ed è finalizzata ad attivare moduli extracurricolari e a recuperare i giovani </w:t>
      </w:r>
      <w:proofErr w:type="spellStart"/>
      <w:r>
        <w:rPr>
          <w:rFonts w:ascii="Calibri" w:hAnsi="Calibri"/>
          <w:sz w:val="22"/>
          <w:szCs w:val="22"/>
        </w:rPr>
        <w:t>drop</w:t>
      </w:r>
      <w:proofErr w:type="spellEnd"/>
      <w:r>
        <w:rPr>
          <w:rFonts w:ascii="Calibri" w:hAnsi="Calibri"/>
          <w:sz w:val="22"/>
          <w:szCs w:val="22"/>
        </w:rPr>
        <w:t xml:space="preserve"> out anche fino a 25 anni di età; la </w:t>
      </w:r>
      <w:r>
        <w:rPr>
          <w:rFonts w:ascii="Calibri" w:hAnsi="Calibri"/>
          <w:sz w:val="22"/>
          <w:szCs w:val="22"/>
          <w:u w:val="single"/>
        </w:rPr>
        <w:t>Regione Veneto</w:t>
      </w:r>
      <w:r>
        <w:rPr>
          <w:rFonts w:ascii="Calibri" w:hAnsi="Calibri"/>
          <w:sz w:val="22"/>
          <w:szCs w:val="22"/>
        </w:rPr>
        <w:t xml:space="preserve">, che ha presentato una panoramica di azioni regionali in tema di istruzione e formazione, illustrando le iniziative di Alternanza scuola lavoro, di metodologie didattiche innovative, di rafforzamento della creazione di impresa, di formazione iniziale, di orientamento, di assegni di ricerca, di formazione a qualifica per gli adulti; </w:t>
      </w:r>
      <w:r>
        <w:rPr>
          <w:rFonts w:ascii="Calibri" w:hAnsi="Calibri"/>
          <w:sz w:val="22"/>
          <w:szCs w:val="22"/>
          <w:u w:val="single"/>
        </w:rPr>
        <w:t>la Regione Lombardia</w:t>
      </w:r>
      <w:r>
        <w:rPr>
          <w:rFonts w:ascii="Calibri" w:hAnsi="Calibri"/>
          <w:sz w:val="22"/>
          <w:szCs w:val="22"/>
        </w:rPr>
        <w:t xml:space="preserve"> ha presentato il proprio sistema di filiera formativa, dall’</w:t>
      </w:r>
      <w:proofErr w:type="spellStart"/>
      <w:r>
        <w:rPr>
          <w:rFonts w:ascii="Calibri" w:hAnsi="Calibri"/>
          <w:sz w:val="22"/>
          <w:szCs w:val="22"/>
        </w:rPr>
        <w:t>Iefp</w:t>
      </w:r>
      <w:proofErr w:type="spellEnd"/>
      <w:r>
        <w:rPr>
          <w:rFonts w:ascii="Calibri" w:hAnsi="Calibri"/>
          <w:sz w:val="22"/>
          <w:szCs w:val="22"/>
        </w:rPr>
        <w:t xml:space="preserve"> fino all’ITS, richiamando i notevoli investimenti regionali sia sul versante dell’IFTS/ITS, sia su quello dell’apprendistato; la </w:t>
      </w:r>
      <w:r>
        <w:rPr>
          <w:rFonts w:ascii="Calibri" w:hAnsi="Calibri"/>
          <w:sz w:val="22"/>
          <w:szCs w:val="22"/>
          <w:u w:val="single"/>
        </w:rPr>
        <w:t>Regione Sardegna</w:t>
      </w:r>
      <w:r>
        <w:rPr>
          <w:rFonts w:ascii="Calibri" w:hAnsi="Calibri"/>
          <w:sz w:val="22"/>
          <w:szCs w:val="22"/>
        </w:rPr>
        <w:t xml:space="preserve"> ha illustrato il proprio programma regionale di contrasto alla dispersione “Tutti a </w:t>
      </w:r>
      <w:proofErr w:type="spellStart"/>
      <w:r>
        <w:rPr>
          <w:rFonts w:ascii="Calibri" w:hAnsi="Calibri"/>
          <w:sz w:val="22"/>
          <w:szCs w:val="22"/>
        </w:rPr>
        <w:t>Iscola</w:t>
      </w:r>
      <w:proofErr w:type="spellEnd"/>
      <w:r>
        <w:rPr>
          <w:rFonts w:ascii="Calibri" w:hAnsi="Calibri"/>
          <w:sz w:val="22"/>
          <w:szCs w:val="22"/>
        </w:rPr>
        <w:t xml:space="preserve">” nonché gli interventi sulle università, attraverso borse di studio per meritevoli e assegni di ricerca.  </w:t>
      </w:r>
    </w:p>
    <w:p w:rsidR="00917EB0" w:rsidRDefault="00917EB0">
      <w:pPr>
        <w:pStyle w:val="Standard"/>
        <w:suppressAutoHyphens w:val="0"/>
        <w:jc w:val="both"/>
        <w:rPr>
          <w:rFonts w:ascii="Calibri" w:hAnsi="Calibri"/>
          <w:sz w:val="22"/>
          <w:szCs w:val="22"/>
        </w:rPr>
      </w:pPr>
    </w:p>
    <w:p w:rsidR="00917EB0" w:rsidRDefault="00A34437">
      <w:pPr>
        <w:pStyle w:val="Standard"/>
        <w:jc w:val="both"/>
      </w:pPr>
      <w:r>
        <w:rPr>
          <w:rFonts w:ascii="Calibri" w:hAnsi="Calibri"/>
          <w:sz w:val="22"/>
          <w:szCs w:val="22"/>
        </w:rPr>
        <w:t xml:space="preserve">Gli ulteriori interventi </w:t>
      </w:r>
      <w:r>
        <w:rPr>
          <w:rFonts w:ascii="Calibri" w:hAnsi="Calibri"/>
          <w:sz w:val="22"/>
          <w:szCs w:val="22"/>
          <w:u w:val="single"/>
        </w:rPr>
        <w:t>del partenariato istituzionale, economico e sociale</w:t>
      </w:r>
      <w:r>
        <w:rPr>
          <w:rFonts w:ascii="Calibri" w:hAnsi="Calibri"/>
          <w:sz w:val="22"/>
          <w:szCs w:val="22"/>
        </w:rPr>
        <w:t xml:space="preserve"> presente in sala hanno ripreso molti dei temi oggetto di presentazione e, in estrema sintesi, hanno posto l’accento sull’importanza di:</w:t>
      </w:r>
    </w:p>
    <w:p w:rsidR="00917EB0" w:rsidRDefault="00A34437">
      <w:pPr>
        <w:pStyle w:val="Paragrafoelenco"/>
        <w:numPr>
          <w:ilvl w:val="0"/>
          <w:numId w:val="3"/>
        </w:numPr>
        <w:ind w:left="714" w:hanging="357"/>
        <w:jc w:val="both"/>
      </w:pPr>
      <w:r>
        <w:rPr>
          <w:rFonts w:cs="Lucida Sans"/>
          <w:lang w:eastAsia="zh-CN" w:bidi="hi-IN"/>
        </w:rPr>
        <w:t>Rafforzare il sistema degli ITS, in generale dell’istruzione terziaria</w:t>
      </w:r>
    </w:p>
    <w:p w:rsidR="00917EB0" w:rsidRDefault="00A34437">
      <w:pPr>
        <w:pStyle w:val="Paragrafoelenco"/>
        <w:numPr>
          <w:ilvl w:val="0"/>
          <w:numId w:val="1"/>
        </w:numPr>
        <w:ind w:left="714" w:hanging="357"/>
        <w:jc w:val="both"/>
      </w:pPr>
      <w:r>
        <w:rPr>
          <w:rFonts w:cs="Lucida Sans"/>
          <w:lang w:eastAsia="zh-CN" w:bidi="hi-IN"/>
        </w:rPr>
        <w:t>Lavorare sul tema delle competenze (di base e specialistiche, digitali) delle persone e della formazione continua e permanente</w:t>
      </w:r>
    </w:p>
    <w:p w:rsidR="00917EB0" w:rsidRDefault="00A34437">
      <w:pPr>
        <w:pStyle w:val="Paragrafoelenco"/>
        <w:numPr>
          <w:ilvl w:val="0"/>
          <w:numId w:val="1"/>
        </w:numPr>
        <w:ind w:left="714" w:hanging="357"/>
        <w:jc w:val="both"/>
      </w:pPr>
      <w:r>
        <w:rPr>
          <w:rFonts w:cs="Lucida Sans"/>
          <w:lang w:eastAsia="zh-CN" w:bidi="hi-IN"/>
        </w:rPr>
        <w:t xml:space="preserve">Prestare attenzione alle persone più fragili e ai giovani rischio </w:t>
      </w:r>
      <w:proofErr w:type="spellStart"/>
      <w:r>
        <w:rPr>
          <w:rFonts w:cs="Lucida Sans"/>
          <w:lang w:eastAsia="zh-CN" w:bidi="hi-IN"/>
        </w:rPr>
        <w:t>drop</w:t>
      </w:r>
      <w:proofErr w:type="spellEnd"/>
      <w:r>
        <w:rPr>
          <w:rFonts w:cs="Lucida Sans"/>
          <w:lang w:eastAsia="zh-CN" w:bidi="hi-IN"/>
        </w:rPr>
        <w:t xml:space="preserve"> out, quali i minori che debbono prendersi cura di familiari non autosufficienti, nonché la popolazione carceraria</w:t>
      </w:r>
    </w:p>
    <w:p w:rsidR="00917EB0" w:rsidRDefault="00A34437">
      <w:pPr>
        <w:pStyle w:val="Paragrafoelenco"/>
        <w:numPr>
          <w:ilvl w:val="0"/>
          <w:numId w:val="1"/>
        </w:numPr>
        <w:ind w:left="714" w:hanging="357"/>
        <w:jc w:val="both"/>
      </w:pPr>
      <w:r>
        <w:rPr>
          <w:rFonts w:cs="Lucida Sans"/>
          <w:lang w:eastAsia="zh-CN" w:bidi="hi-IN"/>
        </w:rPr>
        <w:t>Prevedere una forte attività di valutazione degli interventi</w:t>
      </w:r>
    </w:p>
    <w:p w:rsidR="00917EB0" w:rsidRDefault="00A34437">
      <w:pPr>
        <w:pStyle w:val="Paragrafoelenco"/>
        <w:numPr>
          <w:ilvl w:val="0"/>
          <w:numId w:val="1"/>
        </w:numPr>
        <w:ind w:left="714" w:hanging="357"/>
        <w:jc w:val="both"/>
      </w:pPr>
      <w:r>
        <w:rPr>
          <w:rFonts w:cs="Lucida Sans"/>
          <w:lang w:eastAsia="zh-CN" w:bidi="hi-IN"/>
        </w:rPr>
        <w:t>Rafforzare l’orientamento, anche per evitare logiche di segregazione femminile nelle scelte, e i sistemi di intermediazione</w:t>
      </w:r>
    </w:p>
    <w:p w:rsidR="00917EB0" w:rsidRDefault="00A34437">
      <w:pPr>
        <w:pStyle w:val="Paragrafoelenco"/>
        <w:numPr>
          <w:ilvl w:val="0"/>
          <w:numId w:val="1"/>
        </w:numPr>
        <w:ind w:left="714" w:hanging="357"/>
        <w:jc w:val="both"/>
      </w:pPr>
      <w:r>
        <w:rPr>
          <w:rFonts w:cs="Lucida Sans"/>
          <w:lang w:eastAsia="zh-CN" w:bidi="hi-IN"/>
        </w:rPr>
        <w:t>Rafforzare il sistema duale e l’apprendistato</w:t>
      </w:r>
    </w:p>
    <w:p w:rsidR="00917EB0" w:rsidRDefault="00A34437">
      <w:pPr>
        <w:pStyle w:val="Paragrafoelenco"/>
        <w:numPr>
          <w:ilvl w:val="0"/>
          <w:numId w:val="1"/>
        </w:numPr>
        <w:ind w:left="714" w:hanging="357"/>
        <w:jc w:val="both"/>
      </w:pPr>
      <w:r>
        <w:rPr>
          <w:rFonts w:cs="Lucida Sans"/>
          <w:lang w:eastAsia="zh-CN" w:bidi="hi-IN"/>
        </w:rPr>
        <w:t>Rafforzare la logica di rete tra il mondo dell’istruzione e del lavoro, attraverso strumenti e modelli quali ad esempio la Piattaforma Scuola-Imprese della Regione Emilia-Romagna</w:t>
      </w:r>
    </w:p>
    <w:p w:rsidR="00917EB0" w:rsidRDefault="00A34437">
      <w:pPr>
        <w:pStyle w:val="Paragrafoelenco"/>
        <w:numPr>
          <w:ilvl w:val="0"/>
          <w:numId w:val="1"/>
        </w:numPr>
        <w:ind w:left="714" w:hanging="357"/>
        <w:jc w:val="both"/>
      </w:pPr>
      <w:r>
        <w:rPr>
          <w:rFonts w:cs="Lucida Sans"/>
          <w:lang w:eastAsia="zh-CN" w:bidi="hi-IN"/>
        </w:rPr>
        <w:t>Garantire una sostanziale continuità e potenziamento degli interventi fatti, non trascurando tuttavia la necessità di innovare e attuare interventi sperimentali</w:t>
      </w:r>
    </w:p>
    <w:p w:rsidR="00917EB0" w:rsidRDefault="00A34437">
      <w:pPr>
        <w:pStyle w:val="Standard"/>
        <w:jc w:val="both"/>
      </w:pPr>
      <w:r>
        <w:rPr>
          <w:rFonts w:ascii="Calibri" w:hAnsi="Calibri"/>
          <w:sz w:val="22"/>
          <w:szCs w:val="22"/>
        </w:rPr>
        <w:t>Dal canto loro, le Amministrazioni centrali e regionali hanno anche sottolineato la necessità di:</w:t>
      </w:r>
    </w:p>
    <w:p w:rsidR="00917EB0" w:rsidRDefault="00A34437">
      <w:pPr>
        <w:pStyle w:val="Paragrafoelenco"/>
        <w:numPr>
          <w:ilvl w:val="0"/>
          <w:numId w:val="4"/>
        </w:numPr>
        <w:jc w:val="both"/>
      </w:pPr>
      <w:proofErr w:type="gramStart"/>
      <w:r>
        <w:t>lavorare</w:t>
      </w:r>
      <w:proofErr w:type="gramEnd"/>
      <w:r>
        <w:t xml:space="preserve"> per aumentare la sinergia tra POR e PON per evitare sovrapposizioni e, più in generale, garantire un livello di governance efficace</w:t>
      </w:r>
    </w:p>
    <w:p w:rsidR="00917EB0" w:rsidRDefault="00A34437">
      <w:pPr>
        <w:pStyle w:val="Paragrafoelenco"/>
        <w:numPr>
          <w:ilvl w:val="0"/>
          <w:numId w:val="2"/>
        </w:numPr>
        <w:spacing w:after="0" w:line="240" w:lineRule="auto"/>
        <w:jc w:val="both"/>
      </w:pPr>
      <w:proofErr w:type="gramStart"/>
      <w:r>
        <w:rPr>
          <w:rFonts w:cs="Lucida Sans"/>
          <w:lang w:eastAsia="zh-CN" w:bidi="hi-IN"/>
        </w:rPr>
        <w:lastRenderedPageBreak/>
        <w:t>garantire</w:t>
      </w:r>
      <w:proofErr w:type="gramEnd"/>
      <w:r>
        <w:rPr>
          <w:rFonts w:cs="Lucida Sans"/>
          <w:lang w:eastAsia="zh-CN" w:bidi="hi-IN"/>
        </w:rPr>
        <w:t xml:space="preserve"> la flessibilità programmatoria, senza ingessare le scelte in categorie prefissate che rendono difficoltosa l’</w:t>
      </w:r>
      <w:r>
        <w:t>implementazione dei programmi.</w:t>
      </w:r>
    </w:p>
    <w:p w:rsidR="00917EB0" w:rsidRDefault="00A34437">
      <w:pPr>
        <w:pStyle w:val="Standard"/>
        <w:jc w:val="both"/>
      </w:pPr>
      <w:r>
        <w:rPr>
          <w:rFonts w:ascii="Calibri" w:hAnsi="Calibri"/>
          <w:sz w:val="22"/>
          <w:szCs w:val="22"/>
        </w:rPr>
        <w:t xml:space="preserve">Ad ogni modo, in chiusura dei lavori, il </w:t>
      </w:r>
      <w:proofErr w:type="spellStart"/>
      <w:r>
        <w:rPr>
          <w:rFonts w:ascii="Calibri" w:hAnsi="Calibri"/>
          <w:sz w:val="22"/>
          <w:szCs w:val="22"/>
        </w:rPr>
        <w:t>Nuvap</w:t>
      </w:r>
      <w:proofErr w:type="spellEnd"/>
      <w:r>
        <w:rPr>
          <w:rFonts w:ascii="Calibri" w:hAnsi="Calibri"/>
          <w:sz w:val="22"/>
          <w:szCs w:val="22"/>
        </w:rPr>
        <w:t>, ricordando il prossimo appuntamento del 10 luglio, ha anche sottolineato che, al termine degli incontri dei Tavoli, il punto di arrivo sarà comunque quello di predisporre un documento finalizzato riempire di contenuti più operativi gli obiettivi specifici e gli interventi.</w:t>
      </w:r>
    </w:p>
    <w:sectPr w:rsidR="00917EB0">
      <w:footerReference w:type="default" r:id="rId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437" w:rsidRDefault="00A34437">
      <w:r>
        <w:separator/>
      </w:r>
    </w:p>
  </w:endnote>
  <w:endnote w:type="continuationSeparator" w:id="0">
    <w:p w:rsidR="00A34437" w:rsidRDefault="00A3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altName w:val="Arial"/>
    <w:charset w:val="00"/>
    <w:family w:val="swiss"/>
    <w:pitch w:val="default"/>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F">
    <w:charset w:val="00"/>
    <w:family w:val="auto"/>
    <w:pitch w:val="variable"/>
  </w:font>
  <w:font w:name="OpenSymbol">
    <w:charset w:val="00"/>
    <w:family w:val="auto"/>
    <w:pitch w:val="default"/>
  </w:font>
  <w:font w:name="Calibri Light">
    <w:panose1 w:val="020F0302020204030204"/>
    <w:charset w:val="00"/>
    <w:family w:val="swiss"/>
    <w:pitch w:val="variable"/>
    <w:sig w:usb0="A00002EF" w:usb1="4000207B" w:usb2="00000000" w:usb3="00000000" w:csb0="0000019F" w:csb1="00000000"/>
  </w:font>
  <w:font w:name="DokChampa">
    <w:panose1 w:val="020B0604020202020204"/>
    <w:charset w:val="00"/>
    <w:family w:val="swiss"/>
    <w:pitch w:val="variable"/>
    <w:sig w:usb0="03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3CF" w:rsidRDefault="00A34437">
    <w:pPr>
      <w:pStyle w:val="Pidipagina"/>
    </w:pPr>
    <w:r>
      <w:fldChar w:fldCharType="begin"/>
    </w:r>
    <w:r>
      <w:instrText xml:space="preserve"> PAGE </w:instrText>
    </w:r>
    <w:r>
      <w:fldChar w:fldCharType="separate"/>
    </w:r>
    <w:r w:rsidR="005819B2">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437" w:rsidRDefault="00A34437">
      <w:r>
        <w:rPr>
          <w:color w:val="000000"/>
        </w:rPr>
        <w:separator/>
      </w:r>
    </w:p>
  </w:footnote>
  <w:footnote w:type="continuationSeparator" w:id="0">
    <w:p w:rsidR="00A34437" w:rsidRDefault="00A344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5E1B01"/>
    <w:multiLevelType w:val="multilevel"/>
    <w:tmpl w:val="3D92673C"/>
    <w:styleLink w:val="WWNum1"/>
    <w:lvl w:ilvl="0">
      <w:numFmt w:val="bullet"/>
      <w:lvlText w:val=""/>
      <w:lvlJc w:val="left"/>
      <w:pPr>
        <w:ind w:left="363" w:hanging="360"/>
      </w:pPr>
      <w:rPr>
        <w:rFonts w:ascii="Symbol" w:hAnsi="Symbol"/>
      </w:rPr>
    </w:lvl>
    <w:lvl w:ilvl="1">
      <w:numFmt w:val="bullet"/>
      <w:lvlText w:val="o"/>
      <w:lvlJc w:val="left"/>
      <w:pPr>
        <w:ind w:left="1083" w:hanging="360"/>
      </w:pPr>
      <w:rPr>
        <w:rFonts w:ascii="Courier New" w:hAnsi="Courier New" w:cs="Courier New"/>
      </w:rPr>
    </w:lvl>
    <w:lvl w:ilvl="2">
      <w:numFmt w:val="bullet"/>
      <w:lvlText w:val=""/>
      <w:lvlJc w:val="left"/>
      <w:pPr>
        <w:ind w:left="1803" w:hanging="360"/>
      </w:pPr>
      <w:rPr>
        <w:rFonts w:ascii="Wingdings" w:hAnsi="Wingdings"/>
      </w:rPr>
    </w:lvl>
    <w:lvl w:ilvl="3">
      <w:numFmt w:val="bullet"/>
      <w:lvlText w:val=""/>
      <w:lvlJc w:val="left"/>
      <w:pPr>
        <w:ind w:left="2523" w:hanging="360"/>
      </w:pPr>
      <w:rPr>
        <w:rFonts w:ascii="Symbol" w:hAnsi="Symbol"/>
      </w:rPr>
    </w:lvl>
    <w:lvl w:ilvl="4">
      <w:numFmt w:val="bullet"/>
      <w:lvlText w:val="o"/>
      <w:lvlJc w:val="left"/>
      <w:pPr>
        <w:ind w:left="3243" w:hanging="360"/>
      </w:pPr>
      <w:rPr>
        <w:rFonts w:ascii="Courier New" w:hAnsi="Courier New" w:cs="Courier New"/>
      </w:rPr>
    </w:lvl>
    <w:lvl w:ilvl="5">
      <w:numFmt w:val="bullet"/>
      <w:lvlText w:val=""/>
      <w:lvlJc w:val="left"/>
      <w:pPr>
        <w:ind w:left="3963" w:hanging="360"/>
      </w:pPr>
      <w:rPr>
        <w:rFonts w:ascii="Wingdings" w:hAnsi="Wingdings"/>
      </w:rPr>
    </w:lvl>
    <w:lvl w:ilvl="6">
      <w:numFmt w:val="bullet"/>
      <w:lvlText w:val=""/>
      <w:lvlJc w:val="left"/>
      <w:pPr>
        <w:ind w:left="4683" w:hanging="360"/>
      </w:pPr>
      <w:rPr>
        <w:rFonts w:ascii="Symbol" w:hAnsi="Symbol"/>
      </w:rPr>
    </w:lvl>
    <w:lvl w:ilvl="7">
      <w:numFmt w:val="bullet"/>
      <w:lvlText w:val="o"/>
      <w:lvlJc w:val="left"/>
      <w:pPr>
        <w:ind w:left="5403" w:hanging="360"/>
      </w:pPr>
      <w:rPr>
        <w:rFonts w:ascii="Courier New" w:hAnsi="Courier New" w:cs="Courier New"/>
      </w:rPr>
    </w:lvl>
    <w:lvl w:ilvl="8">
      <w:numFmt w:val="bullet"/>
      <w:lvlText w:val=""/>
      <w:lvlJc w:val="left"/>
      <w:pPr>
        <w:ind w:left="6123" w:hanging="360"/>
      </w:pPr>
      <w:rPr>
        <w:rFonts w:ascii="Wingdings" w:hAnsi="Wingdings"/>
      </w:rPr>
    </w:lvl>
  </w:abstractNum>
  <w:abstractNum w:abstractNumId="1" w15:restartNumberingAfterBreak="0">
    <w:nsid w:val="5F9F0EC2"/>
    <w:multiLevelType w:val="multilevel"/>
    <w:tmpl w:val="D8BEA5B2"/>
    <w:styleLink w:val="WWNum2"/>
    <w:lvl w:ilvl="0">
      <w:numFmt w:val="bullet"/>
      <w:lvlText w:val="-"/>
      <w:lvlJc w:val="left"/>
      <w:pPr>
        <w:ind w:left="720" w:hanging="360"/>
      </w:pPr>
      <w:rPr>
        <w:rFonts w:ascii="Calibri" w:eastAsia="SimSun" w:hAnsi="Calibri" w:cs="Lucida San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1"/>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EB0"/>
    <w:rsid w:val="00053D9F"/>
    <w:rsid w:val="005819B2"/>
    <w:rsid w:val="00917EB0"/>
    <w:rsid w:val="00A34437"/>
  </w:rsids>
  <m:mathPr>
    <m:mathFont m:val="Cambria Math"/>
    <m:brkBin m:val="before"/>
    <m:brkBinSub m:val="--"/>
    <m:smallFrac m:val="0"/>
    <m:dispDef/>
    <m:lMargin m:val="0"/>
    <m:rMargin m:val="0"/>
    <m:defJc m:val="centerGroup"/>
    <m:wrapIndent m:val="1440"/>
    <m:intLim m:val="subSup"/>
    <m:naryLim m:val="undOvr"/>
  </m:mathPr>
  <w:themeFontLang w:val="it-I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A50A56-8855-4A5B-AD5F-640DE1C8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Lucida Sans"/>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Intestazione">
    <w:name w:val="header"/>
    <w:basedOn w:val="Standard"/>
    <w:pPr>
      <w:suppressLineNumbers/>
      <w:tabs>
        <w:tab w:val="center" w:pos="4819"/>
        <w:tab w:val="right" w:pos="9638"/>
      </w:tabs>
    </w:pPr>
    <w:rPr>
      <w:rFonts w:cs="Mangal"/>
      <w:szCs w:val="21"/>
    </w:rPr>
  </w:style>
  <w:style w:type="paragraph" w:styleId="Pidipagina">
    <w:name w:val="footer"/>
    <w:basedOn w:val="Standard"/>
    <w:pPr>
      <w:suppressLineNumbers/>
      <w:tabs>
        <w:tab w:val="center" w:pos="4819"/>
        <w:tab w:val="right" w:pos="9638"/>
      </w:tabs>
    </w:pPr>
    <w:rPr>
      <w:rFonts w:cs="Mangal"/>
      <w:szCs w:val="21"/>
    </w:rPr>
  </w:style>
  <w:style w:type="paragraph" w:styleId="Paragrafoelenco">
    <w:name w:val="List Paragraph"/>
    <w:basedOn w:val="Standard"/>
    <w:pPr>
      <w:suppressAutoHyphens w:val="0"/>
      <w:spacing w:after="160" w:line="259" w:lineRule="auto"/>
      <w:ind w:left="720"/>
    </w:pPr>
    <w:rPr>
      <w:rFonts w:ascii="Calibri" w:hAnsi="Calibri" w:cs="F"/>
      <w:sz w:val="22"/>
      <w:szCs w:val="22"/>
      <w:lang w:eastAsia="en-US" w:bidi="ar-SA"/>
    </w:rPr>
  </w:style>
  <w:style w:type="character" w:customStyle="1" w:styleId="BulletSymbols">
    <w:name w:val="Bullet Symbols"/>
    <w:rPr>
      <w:rFonts w:ascii="OpenSymbol" w:eastAsia="OpenSymbol" w:hAnsi="OpenSymbol" w:cs="OpenSymbol"/>
    </w:rPr>
  </w:style>
  <w:style w:type="character" w:customStyle="1" w:styleId="Internetlink">
    <w:name w:val="Internet link"/>
    <w:basedOn w:val="Carpredefinitoparagrafo"/>
    <w:rPr>
      <w:color w:val="0563C1"/>
      <w:u w:val="single"/>
    </w:rPr>
  </w:style>
  <w:style w:type="character" w:customStyle="1" w:styleId="IntestazioneCarattere">
    <w:name w:val="Intestazione Carattere"/>
    <w:basedOn w:val="Carpredefinitoparagrafo"/>
    <w:rPr>
      <w:rFonts w:cs="Mangal"/>
      <w:szCs w:val="21"/>
    </w:rPr>
  </w:style>
  <w:style w:type="character" w:customStyle="1" w:styleId="PidipaginaCarattere">
    <w:name w:val="Piè di pagina Carattere"/>
    <w:basedOn w:val="Carpredefinitoparagrafo"/>
    <w:rPr>
      <w:rFonts w:cs="Mangal"/>
      <w:szCs w:val="21"/>
    </w:rPr>
  </w:style>
  <w:style w:type="character" w:customStyle="1" w:styleId="ListLabel1">
    <w:name w:val="ListLabel 1"/>
    <w:rPr>
      <w:rFonts w:cs="Courier New"/>
    </w:rPr>
  </w:style>
  <w:style w:type="character" w:customStyle="1" w:styleId="ListLabel2">
    <w:name w:val="ListLabel 2"/>
    <w:rPr>
      <w:rFonts w:eastAsia="SimSun" w:cs="Lucida Sans"/>
    </w:rPr>
  </w:style>
  <w:style w:type="numbering" w:customStyle="1" w:styleId="WWNum1">
    <w:name w:val="WWNum1"/>
    <w:basedOn w:val="Nessunelenco"/>
    <w:pPr>
      <w:numPr>
        <w:numId w:val="1"/>
      </w:numPr>
    </w:pPr>
  </w:style>
  <w:style w:type="numbering" w:customStyle="1" w:styleId="WWNum2">
    <w:name w:val="WWNum2"/>
    <w:basedOn w:val="Nessunelenco"/>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1473</Words>
  <Characters>8399</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CASILLO</dc:creator>
  <cp:lastModifiedBy>Laura Frascarelli</cp:lastModifiedBy>
  <cp:revision>3</cp:revision>
  <dcterms:created xsi:type="dcterms:W3CDTF">2019-12-16T11:55:00Z</dcterms:created>
  <dcterms:modified xsi:type="dcterms:W3CDTF">2019-12-16T11:56:00Z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